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15" w:rsidRPr="00244159" w:rsidRDefault="00DC6615" w:rsidP="00DC6615">
      <w:pPr>
        <w:pStyle w:val="Alinia6"/>
        <w:rPr>
          <w:rStyle w:val="Bijzonder"/>
        </w:rPr>
      </w:pPr>
      <w:bookmarkStart w:id="0" w:name="_GoBack"/>
      <w:r w:rsidRPr="00244159">
        <w:rPr>
          <w:rStyle w:val="Bijzonder"/>
        </w:rPr>
        <w:t xml:space="preserve">Tull en 't Waal - Ontwikkeling van de </w:t>
      </w:r>
      <w:hyperlink r:id="rId8" w:tooltip="Eigendom" w:history="1">
        <w:r w:rsidRPr="00244159">
          <w:rPr>
            <w:rStyle w:val="Bijzonder"/>
          </w:rPr>
          <w:t>eigendom</w:t>
        </w:r>
      </w:hyperlink>
    </w:p>
    <w:bookmarkEnd w:id="0"/>
    <w:p w:rsidR="00DC6615" w:rsidRDefault="00DC6615" w:rsidP="00DC6615">
      <w:pPr>
        <w:pStyle w:val="BusTic"/>
      </w:pPr>
      <w:r w:rsidRPr="00244159">
        <w:t xml:space="preserve">De invloed van de </w:t>
      </w:r>
      <w:hyperlink r:id="rId9" w:tooltip="Kapittel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Kapittels</w:t>
        </w:r>
      </w:hyperlink>
      <w:r w:rsidRPr="00244159">
        <w:t xml:space="preserve"> van de Dom en Oud-Munster van Utrecht moet in Tull en 't Waal groot geweest zijn. </w:t>
      </w:r>
    </w:p>
    <w:p w:rsidR="00DC6615" w:rsidRDefault="00DC6615" w:rsidP="00DC6615">
      <w:pPr>
        <w:pStyle w:val="BusTic"/>
      </w:pPr>
      <w:r w:rsidRPr="00244159">
        <w:t xml:space="preserve">Maar aan het einde van de 16de eeuw bezitten ze er nog maar zes </w:t>
      </w:r>
      <w:hyperlink r:id="rId10" w:tooltip="Morgen (oppervlaktemaat)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morgen</w:t>
        </w:r>
      </w:hyperlink>
      <w:r w:rsidRPr="00244159">
        <w:t xml:space="preserve"> land. </w:t>
      </w:r>
    </w:p>
    <w:p w:rsidR="00DC6615" w:rsidRDefault="00DC6615" w:rsidP="00DC6615">
      <w:pPr>
        <w:pStyle w:val="BusTic"/>
      </w:pPr>
      <w:r w:rsidRPr="00244159">
        <w:t xml:space="preserve">Deze situatie is daarmee sterk verschillend van die in de aangrenzende </w:t>
      </w:r>
      <w:hyperlink r:id="rId11" w:tooltip="Cope-ontginningen (de pagina bestaat niet)" w:history="1">
        <w:proofErr w:type="spellStart"/>
        <w:r w:rsidRPr="00244159">
          <w:rPr>
            <w:rStyle w:val="Hyperlink"/>
            <w:rFonts w:eastAsiaTheme="majorEastAsia"/>
            <w:color w:val="000000" w:themeColor="text1"/>
            <w:u w:val="none"/>
          </w:rPr>
          <w:t>cope</w:t>
        </w:r>
        <w:proofErr w:type="spellEnd"/>
        <w:r w:rsidRPr="00244159">
          <w:rPr>
            <w:rStyle w:val="Hyperlink"/>
            <w:rFonts w:eastAsiaTheme="majorEastAsia"/>
            <w:color w:val="000000" w:themeColor="text1"/>
            <w:u w:val="none"/>
          </w:rPr>
          <w:t>-ontginningen</w:t>
        </w:r>
      </w:hyperlink>
      <w:r w:rsidRPr="00244159">
        <w:t xml:space="preserve">: de polders </w:t>
      </w:r>
      <w:hyperlink r:id="rId12" w:tooltip="Het Rietveld" w:history="1">
        <w:r w:rsidRPr="00244159">
          <w:rPr>
            <w:rStyle w:val="Hyperlink"/>
            <w:rFonts w:eastAsiaTheme="majorEastAsia"/>
            <w:color w:val="000000" w:themeColor="text1"/>
            <w:u w:val="none"/>
          </w:rPr>
          <w:t>het Rietveld</w:t>
        </w:r>
      </w:hyperlink>
      <w:r w:rsidRPr="00244159">
        <w:t xml:space="preserve"> en </w:t>
      </w:r>
      <w:hyperlink r:id="rId13" w:tooltip="Vuijlcop" w:history="1">
        <w:proofErr w:type="spellStart"/>
        <w:r w:rsidRPr="00244159">
          <w:rPr>
            <w:rStyle w:val="Hyperlink"/>
            <w:rFonts w:eastAsiaTheme="majorEastAsia"/>
            <w:color w:val="000000" w:themeColor="text1"/>
            <w:u w:val="none"/>
          </w:rPr>
          <w:t>Vuijlcop</w:t>
        </w:r>
        <w:proofErr w:type="spellEnd"/>
      </w:hyperlink>
      <w:r w:rsidRPr="00244159">
        <w:t xml:space="preserve">, waar dan nog respectievelijk ruim 30 procent en 60 procent eigendom van geestelijke instellingen is. </w:t>
      </w:r>
    </w:p>
    <w:p w:rsidR="00DC6615" w:rsidRDefault="00DC6615" w:rsidP="00DC6615">
      <w:pPr>
        <w:pStyle w:val="BusTic"/>
      </w:pPr>
      <w:r w:rsidRPr="00244159">
        <w:t>In 't Waal zijn aan het einde van de 17</w:t>
      </w:r>
      <w:r w:rsidRPr="00244159">
        <w:rPr>
          <w:vertAlign w:val="superscript"/>
        </w:rPr>
        <w:t>de</w:t>
      </w:r>
      <w:r>
        <w:t xml:space="preserve"> </w:t>
      </w:r>
      <w:r w:rsidRPr="00244159">
        <w:t xml:space="preserve">eeuw al vier kleine boerderijen eigendom van hun gebruikers. </w:t>
      </w:r>
    </w:p>
    <w:p w:rsidR="00DC6615" w:rsidRDefault="00DC6615" w:rsidP="00DC6615">
      <w:pPr>
        <w:pStyle w:val="BusTic"/>
      </w:pPr>
      <w:r w:rsidRPr="00244159">
        <w:t xml:space="preserve">Kort daarna komen daar nog twee grote boerderijen bij. </w:t>
      </w:r>
    </w:p>
    <w:p w:rsidR="00DC6615" w:rsidRDefault="00DC6615" w:rsidP="00DC6615">
      <w:pPr>
        <w:pStyle w:val="BusTic"/>
      </w:pPr>
      <w:r w:rsidRPr="00244159">
        <w:t>De vier grote boerderijen in Tull en veel los land blijven tot het einde van de 18</w:t>
      </w:r>
      <w:r w:rsidRPr="00244159">
        <w:rPr>
          <w:vertAlign w:val="superscript"/>
        </w:rPr>
        <w:t>de</w:t>
      </w:r>
      <w:r>
        <w:t xml:space="preserve"> </w:t>
      </w:r>
      <w:r w:rsidRPr="00244159">
        <w:t xml:space="preserve">eeuw in handen van grootgrondbezitters, óf de adel, óf Utrechtse regentenfamilies óf vermogende kooplieden, die hun geld in de grond hebben belegd. </w:t>
      </w:r>
    </w:p>
    <w:p w:rsidR="00DC6615" w:rsidRPr="00244159" w:rsidRDefault="00DC6615" w:rsidP="00DC6615">
      <w:pPr>
        <w:pStyle w:val="BusTic"/>
      </w:pPr>
      <w:r w:rsidRPr="00244159">
        <w:t>Rond 1800 slagen gebruikers van de hofsteden er in om zelf eigenaar te worden maar in de jaren twintig en dertig van de 19</w:t>
      </w:r>
      <w:r w:rsidRPr="00244159">
        <w:rPr>
          <w:vertAlign w:val="superscript"/>
        </w:rPr>
        <w:t>de</w:t>
      </w:r>
      <w:r>
        <w:t xml:space="preserve"> </w:t>
      </w:r>
      <w:r w:rsidRPr="00244159">
        <w:t>eeuw moeten zij toch weer tot verkoop aan grootgrondbezitters besluiten omdat er - na het overlijden van de boer - onvoldoende middelen waren om tot verdeling van de nalatenschap onder de vaak vele kinderen over te gaan.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95" w:rsidRDefault="007A5A95" w:rsidP="00A64884">
      <w:r>
        <w:separator/>
      </w:r>
    </w:p>
  </w:endnote>
  <w:endnote w:type="continuationSeparator" w:id="0">
    <w:p w:rsidR="007A5A95" w:rsidRDefault="007A5A9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C661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95" w:rsidRDefault="007A5A95" w:rsidP="00A64884">
      <w:r>
        <w:separator/>
      </w:r>
    </w:p>
  </w:footnote>
  <w:footnote w:type="continuationSeparator" w:id="0">
    <w:p w:rsidR="007A5A95" w:rsidRDefault="007A5A9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A5A9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5A95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6615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Eigendom" TargetMode="External"/><Relationship Id="rId13" Type="http://schemas.openxmlformats.org/officeDocument/2006/relationships/hyperlink" Target="http://nl.wikipedia.org/wiki/Vuijlcop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t_Rietvel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Cope-ontginningen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Morgen_(oppervlaktemaat)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apitte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2011-09-19T10:50:00Z</dcterms:created>
  <dcterms:modified xsi:type="dcterms:W3CDTF">2011-09-19T10:50:00Z</dcterms:modified>
  <cp:category>2011</cp:category>
</cp:coreProperties>
</file>