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D" w:rsidRPr="00955A0E" w:rsidRDefault="00F27B3D" w:rsidP="00F27B3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Graetheide</w:t>
      </w:r>
      <w:proofErr w:type="spellEnd"/>
      <w:r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955A0E"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– Algemeen </w:t>
      </w:r>
      <w:r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</w:t>
      </w:r>
      <w:r w:rsidR="00955A0E"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55A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955A0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AA10C7" wp14:editId="60528652">
            <wp:extent cx="220980" cy="220980"/>
            <wp:effectExtent l="0" t="0" r="7620" b="7620"/>
            <wp:docPr id="621" name="Afbeelding 6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55A0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1' NB, 5° 48' OL</w:t>
        </w:r>
      </w:hyperlink>
    </w:p>
    <w:p w:rsidR="00582DCD" w:rsidRDefault="00F27B3D" w:rsidP="00582DCD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582DCD">
        <w:rPr>
          <w:rFonts w:ascii="Comic Sans MS" w:hAnsi="Comic Sans MS"/>
          <w:bCs/>
          <w:color w:val="000000" w:themeColor="text1"/>
        </w:rPr>
        <w:t>Graetheide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is </w:t>
      </w:r>
      <w:bookmarkStart w:id="0" w:name="_GoBack"/>
      <w:bookmarkEnd w:id="0"/>
      <w:r w:rsidRPr="00582DCD">
        <w:rPr>
          <w:rFonts w:ascii="Comic Sans MS" w:hAnsi="Comic Sans MS"/>
          <w:color w:val="000000" w:themeColor="text1"/>
        </w:rPr>
        <w:t xml:space="preserve">een gebied in de Nederlandse provincie </w:t>
      </w:r>
      <w:hyperlink r:id="rId11" w:tooltip="Limburg (Nederland)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82DCD">
        <w:rPr>
          <w:rFonts w:ascii="Comic Sans MS" w:hAnsi="Comic Sans MS"/>
          <w:color w:val="000000" w:themeColor="text1"/>
        </w:rPr>
        <w:t xml:space="preserve"> dat zich ruwweg bevindt tussen </w:t>
      </w:r>
      <w:hyperlink r:id="rId12" w:tooltip="Sittard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582DCD">
        <w:rPr>
          <w:rFonts w:ascii="Comic Sans MS" w:hAnsi="Comic Sans MS"/>
          <w:color w:val="000000" w:themeColor="text1"/>
        </w:rPr>
        <w:t xml:space="preserve"> en de </w:t>
      </w:r>
      <w:hyperlink r:id="rId13" w:tooltip="Maas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582DCD">
        <w:rPr>
          <w:rFonts w:ascii="Comic Sans MS" w:hAnsi="Comic Sans MS"/>
          <w:color w:val="000000" w:themeColor="text1"/>
        </w:rPr>
        <w:t xml:space="preserve"> en tussen </w:t>
      </w:r>
      <w:hyperlink r:id="rId14" w:tooltip="Geleen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582DCD">
        <w:rPr>
          <w:rFonts w:ascii="Comic Sans MS" w:hAnsi="Comic Sans MS"/>
          <w:color w:val="000000" w:themeColor="text1"/>
        </w:rPr>
        <w:t xml:space="preserve"> en </w:t>
      </w:r>
      <w:hyperlink r:id="rId15" w:tooltip="Born (Nederland)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582DCD">
        <w:rPr>
          <w:rFonts w:ascii="Comic Sans MS" w:hAnsi="Comic Sans MS"/>
          <w:color w:val="000000" w:themeColor="text1"/>
        </w:rPr>
        <w:t xml:space="preserve">. </w:t>
      </w:r>
    </w:p>
    <w:p w:rsidR="00F27B3D" w:rsidRPr="00582DCD" w:rsidRDefault="00F27B3D" w:rsidP="00582DCD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Het gebied behoort tot het historische </w:t>
      </w:r>
      <w:hyperlink r:id="rId16" w:tooltip="Land van Zwentibold (de pagina bestaat niet)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 van </w:t>
        </w:r>
        <w:proofErr w:type="spellStart"/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Zwentibold</w:t>
        </w:r>
        <w:proofErr w:type="spellEnd"/>
      </w:hyperlink>
      <w:r w:rsidRPr="00582DCD">
        <w:rPr>
          <w:rFonts w:ascii="Comic Sans MS" w:hAnsi="Comic Sans MS"/>
          <w:color w:val="000000" w:themeColor="text1"/>
        </w:rPr>
        <w:t xml:space="preserve">, in de tegenwoordige overgangszone van </w:t>
      </w:r>
      <w:hyperlink r:id="rId17" w:tooltip="Zuid-Limburg (Nederland)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Zuid-</w:t>
        </w:r>
      </w:hyperlink>
      <w:r w:rsidRPr="00582DCD">
        <w:rPr>
          <w:rFonts w:ascii="Comic Sans MS" w:hAnsi="Comic Sans MS"/>
          <w:color w:val="000000" w:themeColor="text1"/>
        </w:rPr>
        <w:t xml:space="preserve"> naar </w:t>
      </w:r>
      <w:hyperlink r:id="rId18" w:tooltip="Midden-Limburg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582DCD">
        <w:rPr>
          <w:rFonts w:ascii="Comic Sans MS" w:hAnsi="Comic Sans MS"/>
          <w:color w:val="000000" w:themeColor="text1"/>
        </w:rPr>
        <w:t>.</w:t>
      </w:r>
    </w:p>
    <w:p w:rsidR="00F27B3D" w:rsidRPr="00955A0E" w:rsidRDefault="00F27B3D" w:rsidP="00F27B3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955A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Toekomst</w:t>
      </w:r>
      <w:proofErr w:type="spellEnd"/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Een groot deel van de </w:t>
      </w:r>
      <w:proofErr w:type="spellStart"/>
      <w:r w:rsidRPr="00582DCD">
        <w:rPr>
          <w:rFonts w:ascii="Comic Sans MS" w:hAnsi="Comic Sans MS"/>
          <w:color w:val="000000" w:themeColor="text1"/>
        </w:rPr>
        <w:t>Graetheide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is door de voormalige </w:t>
      </w:r>
      <w:hyperlink r:id="rId19" w:tooltip="Staatsmijn Maurits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Staatsmijn Maurits</w:t>
        </w:r>
      </w:hyperlink>
      <w:r w:rsidRPr="00582DCD">
        <w:rPr>
          <w:rFonts w:ascii="Comic Sans MS" w:hAnsi="Comic Sans MS"/>
          <w:color w:val="000000" w:themeColor="text1"/>
        </w:rPr>
        <w:t xml:space="preserve"> ingericht als industriegebied.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Ook na sluiting van de mijnen wordt het gebied bedreigd door de uitbreiding van dit complex, dat is overgenomen door de chemische industrie.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De </w:t>
      </w:r>
      <w:hyperlink r:id="rId20" w:tooltip="Koninklijke DSM NV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DSM</w:t>
        </w:r>
      </w:hyperlink>
      <w:r w:rsidRPr="00582DCD">
        <w:rPr>
          <w:rFonts w:ascii="Comic Sans MS" w:hAnsi="Comic Sans MS"/>
          <w:color w:val="000000" w:themeColor="text1"/>
        </w:rPr>
        <w:t xml:space="preserve"> heeft in de jaren zeventig circa 200 hectare grondgebied van de </w:t>
      </w:r>
      <w:proofErr w:type="spellStart"/>
      <w:r w:rsidRPr="00582DCD">
        <w:rPr>
          <w:rFonts w:ascii="Comic Sans MS" w:hAnsi="Comic Sans MS"/>
          <w:color w:val="000000" w:themeColor="text1"/>
        </w:rPr>
        <w:t>Graetheide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(ten westen van de A2) gereserveerd als uitbreidingslocatie. </w:t>
      </w:r>
    </w:p>
    <w:p w:rsidR="00F27B3D" w:rsidRP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De toenmalige gemeente Geleen heeft destijds alvast het grondgebied geannexeerd van </w:t>
      </w:r>
      <w:proofErr w:type="spellStart"/>
      <w:r w:rsidRPr="00582DCD">
        <w:rPr>
          <w:rFonts w:ascii="Comic Sans MS" w:hAnsi="Comic Sans MS"/>
          <w:color w:val="000000" w:themeColor="text1"/>
        </w:rPr>
        <w:t>Urmond</w:t>
      </w:r>
      <w:proofErr w:type="spellEnd"/>
      <w:r w:rsidRPr="00582DCD">
        <w:rPr>
          <w:rFonts w:ascii="Comic Sans MS" w:hAnsi="Comic Sans MS"/>
          <w:color w:val="000000" w:themeColor="text1"/>
        </w:rPr>
        <w:t>, maar door de vele tegenstanders heeft de realisatie van de plannen tot nog toe geen doorgang kunnen vinden.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Naast de DSM speelt ook woningbouw een rol in de toekomst van de </w:t>
      </w:r>
      <w:proofErr w:type="spellStart"/>
      <w:r w:rsidRPr="00582DCD">
        <w:rPr>
          <w:rFonts w:ascii="Comic Sans MS" w:hAnsi="Comic Sans MS"/>
          <w:color w:val="000000" w:themeColor="text1"/>
        </w:rPr>
        <w:t>Graetheide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De provincie heeft het deel van het gebied ten oosten van de A2 volledig aangewezen als stedelijk ontwikkelingsgebied.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De bedoeling is niet dat dit een </w:t>
      </w:r>
      <w:hyperlink r:id="rId21" w:tooltip="Vinex" w:history="1">
        <w:proofErr w:type="spellStart"/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Vinex</w:t>
        </w:r>
      </w:hyperlink>
      <w:r w:rsidRPr="00582DCD">
        <w:rPr>
          <w:rFonts w:ascii="Comic Sans MS" w:hAnsi="Comic Sans MS"/>
          <w:color w:val="000000" w:themeColor="text1"/>
        </w:rPr>
        <w:t>-locatie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wordt, maar de mogelijkheid bestaat wel om </w:t>
      </w:r>
      <w:hyperlink r:id="rId22" w:tooltip="Limbricht" w:history="1"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Limbricht</w:t>
        </w:r>
      </w:hyperlink>
      <w:r w:rsidRPr="00582DCD">
        <w:rPr>
          <w:rFonts w:ascii="Comic Sans MS" w:hAnsi="Comic Sans MS"/>
          <w:color w:val="000000" w:themeColor="text1"/>
        </w:rPr>
        <w:t xml:space="preserve">, </w:t>
      </w:r>
      <w:hyperlink r:id="rId23" w:tooltip="Einighausen" w:history="1">
        <w:proofErr w:type="spellStart"/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Einighausen</w:t>
        </w:r>
        <w:proofErr w:type="spellEnd"/>
      </w:hyperlink>
      <w:r w:rsidRPr="00582DCD">
        <w:rPr>
          <w:rFonts w:ascii="Comic Sans MS" w:hAnsi="Comic Sans MS"/>
          <w:color w:val="000000" w:themeColor="text1"/>
        </w:rPr>
        <w:t xml:space="preserve"> en </w:t>
      </w:r>
      <w:hyperlink r:id="rId24" w:tooltip="Guttecoven" w:history="1">
        <w:proofErr w:type="spellStart"/>
        <w:r w:rsidRPr="00582DCD">
          <w:rPr>
            <w:rStyle w:val="Hyperlink"/>
            <w:rFonts w:ascii="Comic Sans MS" w:hAnsi="Comic Sans MS"/>
            <w:color w:val="000000" w:themeColor="text1"/>
            <w:u w:val="none"/>
          </w:rPr>
          <w:t>Guttecoven</w:t>
        </w:r>
        <w:proofErr w:type="spellEnd"/>
      </w:hyperlink>
      <w:r w:rsidRPr="00582DCD">
        <w:rPr>
          <w:rFonts w:ascii="Comic Sans MS" w:hAnsi="Comic Sans MS"/>
          <w:color w:val="000000" w:themeColor="text1"/>
        </w:rPr>
        <w:t xml:space="preserve"> op termijn naar elkaar toe te laten groeien.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In de nieuwe regiovisie Westelijke Mijnstreek van januari 2009 worden grote delen van </w:t>
      </w:r>
      <w:proofErr w:type="spellStart"/>
      <w:r w:rsidRPr="00582DCD">
        <w:rPr>
          <w:rFonts w:ascii="Comic Sans MS" w:hAnsi="Comic Sans MS"/>
          <w:color w:val="000000" w:themeColor="text1"/>
        </w:rPr>
        <w:t>Graetheide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gereserveerd voor industrie. </w:t>
      </w:r>
    </w:p>
    <w:p w:rsid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Er zou een ondergrondse energieopslag (OPAC) moeten komen en een uitbreiding van de researchcampus </w:t>
      </w:r>
      <w:proofErr w:type="spellStart"/>
      <w:r w:rsidRPr="00582DCD">
        <w:rPr>
          <w:rFonts w:ascii="Comic Sans MS" w:hAnsi="Comic Sans MS"/>
          <w:color w:val="000000" w:themeColor="text1"/>
        </w:rPr>
        <w:t>Chemelot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(DSM) met ongeveer 200 hectare. </w:t>
      </w:r>
    </w:p>
    <w:p w:rsidR="00F27B3D" w:rsidRPr="00582DCD" w:rsidRDefault="00F27B3D" w:rsidP="00582DCD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82DCD">
        <w:rPr>
          <w:rFonts w:ascii="Comic Sans MS" w:hAnsi="Comic Sans MS"/>
          <w:color w:val="000000" w:themeColor="text1"/>
        </w:rPr>
        <w:t xml:space="preserve">Sinds 1976 is het </w:t>
      </w:r>
      <w:proofErr w:type="spellStart"/>
      <w:r w:rsidRPr="00582DCD">
        <w:rPr>
          <w:rFonts w:ascii="Comic Sans MS" w:hAnsi="Comic Sans MS"/>
          <w:color w:val="000000" w:themeColor="text1"/>
        </w:rPr>
        <w:t>Graetheidecomité</w:t>
      </w:r>
      <w:proofErr w:type="spellEnd"/>
      <w:r w:rsidRPr="00582DCD">
        <w:rPr>
          <w:rFonts w:ascii="Comic Sans MS" w:hAnsi="Comic Sans MS"/>
          <w:color w:val="000000" w:themeColor="text1"/>
        </w:rPr>
        <w:t xml:space="preserve"> actief bezig met pogingen om het overgebleven groene gebied groen te houden, tot nu toe met succes.</w:t>
      </w:r>
      <w:r w:rsidR="00955A0E" w:rsidRPr="00582DCD">
        <w:rPr>
          <w:rFonts w:ascii="Comic Sans MS" w:hAnsi="Comic Sans MS"/>
          <w:color w:val="000000" w:themeColor="text1"/>
        </w:rPr>
        <w:t xml:space="preserve"> </w:t>
      </w:r>
    </w:p>
    <w:p w:rsidR="00677863" w:rsidRPr="00F27B3D" w:rsidRDefault="00677863" w:rsidP="00F27B3D"/>
    <w:sectPr w:rsidR="00677863" w:rsidRPr="00F27B3D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DA" w:rsidRDefault="000446DA">
      <w:r>
        <w:separator/>
      </w:r>
    </w:p>
  </w:endnote>
  <w:endnote w:type="continuationSeparator" w:id="0">
    <w:p w:rsidR="000446DA" w:rsidRDefault="0004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82D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82DC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DA" w:rsidRDefault="000446DA">
      <w:r>
        <w:separator/>
      </w:r>
    </w:p>
  </w:footnote>
  <w:footnote w:type="continuationSeparator" w:id="0">
    <w:p w:rsidR="000446DA" w:rsidRDefault="0004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446D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95858"/>
    <w:multiLevelType w:val="hybridMultilevel"/>
    <w:tmpl w:val="F9887DE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895D7D"/>
    <w:multiLevelType w:val="hybridMultilevel"/>
    <w:tmpl w:val="AAB8D6C0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FA25E8"/>
    <w:multiLevelType w:val="multilevel"/>
    <w:tmpl w:val="D73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B14F8"/>
    <w:multiLevelType w:val="multilevel"/>
    <w:tmpl w:val="35C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5"/>
  </w:num>
  <w:num w:numId="5">
    <w:abstractNumId w:val="11"/>
  </w:num>
  <w:num w:numId="6">
    <w:abstractNumId w:val="28"/>
  </w:num>
  <w:num w:numId="7">
    <w:abstractNumId w:val="19"/>
  </w:num>
  <w:num w:numId="8">
    <w:abstractNumId w:val="1"/>
  </w:num>
  <w:num w:numId="9">
    <w:abstractNumId w:val="8"/>
  </w:num>
  <w:num w:numId="10">
    <w:abstractNumId w:val="31"/>
  </w:num>
  <w:num w:numId="11">
    <w:abstractNumId w:val="9"/>
  </w:num>
  <w:num w:numId="12">
    <w:abstractNumId w:val="20"/>
  </w:num>
  <w:num w:numId="13">
    <w:abstractNumId w:val="33"/>
  </w:num>
  <w:num w:numId="14">
    <w:abstractNumId w:val="23"/>
  </w:num>
  <w:num w:numId="15">
    <w:abstractNumId w:val="30"/>
  </w:num>
  <w:num w:numId="16">
    <w:abstractNumId w:val="10"/>
  </w:num>
  <w:num w:numId="17">
    <w:abstractNumId w:val="2"/>
  </w:num>
  <w:num w:numId="18">
    <w:abstractNumId w:val="15"/>
  </w:num>
  <w:num w:numId="19">
    <w:abstractNumId w:val="34"/>
  </w:num>
  <w:num w:numId="20">
    <w:abstractNumId w:val="26"/>
  </w:num>
  <w:num w:numId="21">
    <w:abstractNumId w:val="6"/>
  </w:num>
  <w:num w:numId="22">
    <w:abstractNumId w:val="7"/>
  </w:num>
  <w:num w:numId="23">
    <w:abstractNumId w:val="25"/>
  </w:num>
  <w:num w:numId="24">
    <w:abstractNumId w:val="3"/>
  </w:num>
  <w:num w:numId="25">
    <w:abstractNumId w:val="29"/>
  </w:num>
  <w:num w:numId="26">
    <w:abstractNumId w:val="4"/>
  </w:num>
  <w:num w:numId="27">
    <w:abstractNumId w:val="16"/>
  </w:num>
  <w:num w:numId="28">
    <w:abstractNumId w:val="32"/>
  </w:num>
  <w:num w:numId="29">
    <w:abstractNumId w:val="12"/>
  </w:num>
  <w:num w:numId="30">
    <w:abstractNumId w:val="14"/>
  </w:num>
  <w:num w:numId="31">
    <w:abstractNumId w:val="17"/>
  </w:num>
  <w:num w:numId="32">
    <w:abstractNumId w:val="22"/>
  </w:num>
  <w:num w:numId="33">
    <w:abstractNumId w:val="24"/>
  </w:num>
  <w:num w:numId="34">
    <w:abstractNumId w:val="18"/>
  </w:num>
  <w:num w:numId="3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46DA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6CB9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82DCD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856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55A0E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Midden-Limbur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ne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ttard" TargetMode="External"/><Relationship Id="rId17" Type="http://schemas.openxmlformats.org/officeDocument/2006/relationships/hyperlink" Target="http://nl.wikipedia.org/wiki/Zuid-Limburg_(Nederland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Land_van_Zwentibold&amp;action=edit&amp;redlink=1" TargetMode="External"/><Relationship Id="rId20" Type="http://schemas.openxmlformats.org/officeDocument/2006/relationships/hyperlink" Target="http://nl.wikipedia.org/wiki/Koninklijke_DSM_NV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Guttecov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rn_(Nederland)" TargetMode="External"/><Relationship Id="rId23" Type="http://schemas.openxmlformats.org/officeDocument/2006/relationships/hyperlink" Target="http://nl.wikipedia.org/wiki/Einighaus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_13_N_5_47_53_E_zoom:13_region:NL&amp;pagename=Graetheide" TargetMode="External"/><Relationship Id="rId19" Type="http://schemas.openxmlformats.org/officeDocument/2006/relationships/hyperlink" Target="http://nl.wikipedia.org/wiki/Staatsmijn_Mauri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" TargetMode="External"/><Relationship Id="rId22" Type="http://schemas.openxmlformats.org/officeDocument/2006/relationships/hyperlink" Target="http://nl.wikipedia.org/wiki/Limbricht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2972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6</cp:revision>
  <dcterms:created xsi:type="dcterms:W3CDTF">2011-05-31T18:58:00Z</dcterms:created>
  <dcterms:modified xsi:type="dcterms:W3CDTF">2011-07-25T07:10:00Z</dcterms:modified>
</cp:coreProperties>
</file>