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909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Rotterdam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7667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Lelie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909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In 1740 werd de molen in het oude Kralingen ge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>bouwd en heette toen "De Ezel".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Op 31 januari 1777 verkopen Thijs van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Zeventer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en Jacob de Werken een stukje land met de opstal van een molen en afbraak van een huisje en hetgeen 'verders op 't Land is leggende,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staende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en gelegen aan de Westzijde van d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e korte kade in dezen </w:t>
      </w:r>
      <w:proofErr w:type="spellStart"/>
      <w:r>
        <w:rPr>
          <w:rFonts w:ascii="Comic Sans MS" w:hAnsi="Comic Sans MS" w:cs="Arial"/>
          <w:color w:val="000000"/>
          <w:sz w:val="24"/>
          <w:szCs w:val="18"/>
          <w:lang w:val="nl-NL"/>
        </w:rPr>
        <w:t>Ambagte</w:t>
      </w:r>
      <w:proofErr w:type="spellEnd"/>
      <w:r>
        <w:rPr>
          <w:rFonts w:ascii="Comic Sans MS" w:hAnsi="Comic Sans MS" w:cs="Arial"/>
          <w:color w:val="000000"/>
          <w:sz w:val="24"/>
          <w:szCs w:val="18"/>
          <w:lang w:val="nl-NL"/>
        </w:rPr>
        <w:t>'.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214630</wp:posOffset>
            </wp:positionV>
            <wp:extent cx="2076450" cy="2857500"/>
            <wp:effectExtent l="38100" t="0" r="19050" b="857250"/>
            <wp:wrapSquare wrapText="bothSides"/>
            <wp:docPr id="18" name="Afbeelding 18" descr="http://www.molens.nl/upload/209/Kralingen_De_Lelie_foto_Eric_van_der_E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209/Kralingen_De_Lelie_foto_Eric_van_der_E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Dit is ook de '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Snuijfmole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,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huijsje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en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Loosje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' die Isaac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Hioolen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, meester broodbakker, op 29 juli 1803 van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  <w:lang w:val="nl-NL"/>
        </w:rPr>
        <w:t>van</w:t>
      </w:r>
      <w:proofErr w:type="spellEnd"/>
      <w:r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Willem van der </w:t>
      </w:r>
      <w:proofErr w:type="spellStart"/>
      <w:r>
        <w:rPr>
          <w:rFonts w:ascii="Comic Sans MS" w:hAnsi="Comic Sans MS" w:cs="Arial"/>
          <w:color w:val="000000"/>
          <w:sz w:val="24"/>
          <w:szCs w:val="18"/>
          <w:lang w:val="nl-NL"/>
        </w:rPr>
        <w:t>Lugt</w:t>
      </w:r>
      <w:proofErr w:type="spellEnd"/>
      <w:r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ko</w:t>
      </w:r>
      <w:r w:rsidRPr="00576671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>
        <w:rPr>
          <w:rFonts w:ascii="Comic Sans MS" w:hAnsi="Comic Sans MS" w:cs="Arial"/>
          <w:color w:val="000000"/>
          <w:sz w:val="24"/>
          <w:szCs w:val="18"/>
          <w:lang w:val="nl-NL"/>
        </w:rPr>
        <w:t>opt</w:t>
      </w:r>
      <w:proofErr w:type="spellEnd"/>
      <w:r>
        <w:rPr>
          <w:rFonts w:ascii="Comic Sans MS" w:hAnsi="Comic Sans MS" w:cs="Arial"/>
          <w:color w:val="000000"/>
          <w:sz w:val="24"/>
          <w:szCs w:val="18"/>
          <w:lang w:val="nl-NL"/>
        </w:rPr>
        <w:t>.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In 1840 werd deze interessante molen naar de huidige plaats overgebracht. 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Toen zijn ook de achtkantstijlen 1,5 m verlengd, waardoor een slanke molenromp 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>ontstond.</w:t>
      </w:r>
    </w:p>
    <w:p w:rsidR="00576671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Tot 1921 waren in De Lelie 6 stampkuipen aanwezig; de 6e kuip moest toen plaats maken voor een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electromotor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, die de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wentelas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aandreef.</w:t>
      </w: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br/>
        <w:t xml:space="preserve">Bij een ingrijpende restauratie in 1970, waarbij de fundering vernieuwd werd en de molen recht werd gezet en opgevijzeld, werd de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electrische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aandrijving in de molen verwijderd.</w:t>
      </w:r>
    </w:p>
    <w:p w:rsid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Sinds 1996 wordt weer op vrijwillige basis met de beide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Kralingse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snuif- en tabaksmolen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>s het oude ambacht uitgeoefend.</w:t>
      </w:r>
    </w:p>
    <w:p w:rsidR="00576671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 w:cs="Arial"/>
          <w:color w:val="000000"/>
          <w:sz w:val="24"/>
          <w:szCs w:val="18"/>
          <w:lang w:val="nl-NL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Op elke 2e zaterdag van de maand wordt met deze molen en de naburige molen De Ster specerijen en snuiftabak gemalen.</w:t>
      </w:r>
    </w:p>
    <w:p w:rsidR="00576671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Bij specerijen bepaalt de </w:t>
      </w:r>
      <w:proofErr w:type="spellStart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de</w:t>
      </w:r>
      <w:proofErr w:type="spellEnd"/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hoeveelheid vet in het product de manier van malen. </w:t>
      </w:r>
    </w:p>
    <w:p w:rsidR="00576671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De vettere producten worden vooral met de verticale kantstenen fijn 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>gewreven.</w:t>
      </w:r>
    </w:p>
    <w:p w:rsidR="00576671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Producten met weinig vet worden tussen twee horizontale</w:t>
      </w:r>
      <w:r>
        <w:rPr>
          <w:rFonts w:ascii="Comic Sans MS" w:hAnsi="Comic Sans MS" w:cs="Arial"/>
          <w:color w:val="000000"/>
          <w:sz w:val="24"/>
          <w:szCs w:val="18"/>
          <w:lang w:val="nl-NL"/>
        </w:rPr>
        <w:t xml:space="preserve"> stenen van basaltlava gemalen.</w:t>
      </w:r>
    </w:p>
    <w:p w:rsidR="006B4C44" w:rsidRPr="00576671" w:rsidRDefault="00576671" w:rsidP="00576671">
      <w:pPr>
        <w:pStyle w:val="Lijstalinea"/>
        <w:numPr>
          <w:ilvl w:val="0"/>
          <w:numId w:val="25"/>
        </w:numPr>
        <w:spacing w:before="120" w:after="120" w:line="270" w:lineRule="atLeast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76671">
        <w:rPr>
          <w:rFonts w:ascii="Comic Sans MS" w:hAnsi="Comic Sans MS" w:cs="Arial"/>
          <w:color w:val="000000"/>
          <w:sz w:val="24"/>
          <w:szCs w:val="18"/>
          <w:lang w:val="nl-NL"/>
        </w:rPr>
        <w:t>Na het malen wordt het product gezeefd, kleine parijen met een handzeef, voor grote partijen wordt een door de molen aangedreven buil gebruikt.</w:t>
      </w:r>
    </w:p>
    <w:sectPr w:rsidR="006B4C44" w:rsidRPr="0057667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1A" w:rsidRDefault="00673B1A">
      <w:r>
        <w:separator/>
      </w:r>
    </w:p>
  </w:endnote>
  <w:endnote w:type="continuationSeparator" w:id="0">
    <w:p w:rsidR="00673B1A" w:rsidRDefault="0067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1251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1251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7667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435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1A" w:rsidRDefault="00673B1A">
      <w:r>
        <w:separator/>
      </w:r>
    </w:p>
  </w:footnote>
  <w:footnote w:type="continuationSeparator" w:id="0">
    <w:p w:rsidR="00673B1A" w:rsidRDefault="00673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125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2518" w:rsidRPr="00C1251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1251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1251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125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50A6"/>
    <w:multiLevelType w:val="hybridMultilevel"/>
    <w:tmpl w:val="8E40C53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60B2D"/>
    <w:multiLevelType w:val="hybridMultilevel"/>
    <w:tmpl w:val="F844DFF0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C403B"/>
    <w:multiLevelType w:val="hybridMultilevel"/>
    <w:tmpl w:val="C85AAD5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55A68"/>
    <w:multiLevelType w:val="hybridMultilevel"/>
    <w:tmpl w:val="1C8CAB94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8"/>
  </w:num>
  <w:num w:numId="5">
    <w:abstractNumId w:val="16"/>
  </w:num>
  <w:num w:numId="6">
    <w:abstractNumId w:val="6"/>
  </w:num>
  <w:num w:numId="7">
    <w:abstractNumId w:val="4"/>
  </w:num>
  <w:num w:numId="8">
    <w:abstractNumId w:val="23"/>
  </w:num>
  <w:num w:numId="9">
    <w:abstractNumId w:val="9"/>
  </w:num>
  <w:num w:numId="10">
    <w:abstractNumId w:val="7"/>
  </w:num>
  <w:num w:numId="11">
    <w:abstractNumId w:val="19"/>
  </w:num>
  <w:num w:numId="12">
    <w:abstractNumId w:val="2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5"/>
  </w:num>
  <w:num w:numId="22">
    <w:abstractNumId w:val="1"/>
  </w:num>
  <w:num w:numId="23">
    <w:abstractNumId w:val="10"/>
  </w:num>
  <w:num w:numId="24">
    <w:abstractNumId w:val="3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3581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76671"/>
    <w:rsid w:val="005C2F62"/>
    <w:rsid w:val="005E2B19"/>
    <w:rsid w:val="00623919"/>
    <w:rsid w:val="00673B1A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87872"/>
    <w:rsid w:val="008B10E1"/>
    <w:rsid w:val="008B6714"/>
    <w:rsid w:val="008E6F09"/>
    <w:rsid w:val="0092055D"/>
    <w:rsid w:val="00933E71"/>
    <w:rsid w:val="009B5DDF"/>
    <w:rsid w:val="009B717C"/>
    <w:rsid w:val="009D42FC"/>
    <w:rsid w:val="009E1E41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6AE"/>
    <w:rsid w:val="00B8173F"/>
    <w:rsid w:val="00B84DAB"/>
    <w:rsid w:val="00BC348B"/>
    <w:rsid w:val="00BD5182"/>
    <w:rsid w:val="00C02B99"/>
    <w:rsid w:val="00C1251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9092B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34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4458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4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8566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7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7646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1635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2</cp:revision>
  <dcterms:created xsi:type="dcterms:W3CDTF">2010-12-27T13:15:00Z</dcterms:created>
  <dcterms:modified xsi:type="dcterms:W3CDTF">2010-12-27T13:15:00Z</dcterms:modified>
</cp:coreProperties>
</file>